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7954" w14:textId="77777777" w:rsidR="004F1890" w:rsidRDefault="004F1890" w:rsidP="00B449D4">
      <w:pPr>
        <w:spacing w:after="0" w:line="276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28"/>
          <w:szCs w:val="28"/>
          <w14:ligatures w14:val="none"/>
        </w:rPr>
      </w:pPr>
      <w:r w:rsidRPr="00B449D4">
        <w:rPr>
          <w:rFonts w:ascii="Calibri" w:eastAsia="Calibri" w:hAnsi="Calibri" w:cs="Times New Roman"/>
          <w:b/>
          <w:bCs/>
          <w:color w:val="7030A0"/>
          <w:kern w:val="0"/>
          <w:sz w:val="28"/>
          <w:szCs w:val="28"/>
          <w14:ligatures w14:val="none"/>
        </w:rPr>
        <w:t>Το κοινωνικό και οικονομικό αποτύπωμα των φαρμακαποθηκών</w:t>
      </w:r>
    </w:p>
    <w:p w14:paraId="55466820" w14:textId="77777777" w:rsidR="00B449D4" w:rsidRDefault="00B449D4" w:rsidP="00B449D4">
      <w:pPr>
        <w:spacing w:after="0" w:line="276" w:lineRule="auto"/>
        <w:jc w:val="center"/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</w:pPr>
    </w:p>
    <w:p w14:paraId="091580F3" w14:textId="77777777" w:rsidR="0013193C" w:rsidRPr="0013193C" w:rsidRDefault="0013193C" w:rsidP="0013193C">
      <w:pPr>
        <w:keepNext/>
        <w:spacing w:before="240" w:after="120" w:line="260" w:lineRule="atLeast"/>
        <w:jc w:val="both"/>
        <w:outlineLvl w:val="0"/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</w:pPr>
      <w:r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  <w:t xml:space="preserve">Προοίμιο </w:t>
      </w:r>
    </w:p>
    <w:p w14:paraId="19009E48" w14:textId="77777777" w:rsidR="0013193C" w:rsidRPr="001A2641" w:rsidRDefault="00D8270E" w:rsidP="00907F62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Οι φαρμακαποθήκες αποτελούν κρίσιμο κρίκο στην εφοδιαστική αλυσίδα του φαρμάκου, διασφαλίζοντας την άμεση και ασφαλή διάθεσή του στα φαρμακεία. Στην Ελλάδα, με τις γεωγραφικές ιδιαιτερότητες της, η λειτουργία τους αποκτά και κοινωνική διάσταση, καθώς εξασφαλίζουν ισότιμη πρόσβαση στο φάρμακο ακόμη και στις πιο απομακρυσμένες περιοχές.</w:t>
      </w:r>
      <w:r w:rsidR="00907F62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 xml:space="preserve"> </w:t>
      </w:r>
    </w:p>
    <w:p w14:paraId="47C4E5E1" w14:textId="77777777" w:rsidR="00D8270E" w:rsidRPr="001A2641" w:rsidRDefault="00D8270E" w:rsidP="00907F62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 xml:space="preserve">Πέρα από την καθημερινή διανομή, οι φαρμακαποθήκες επενδύουν ίδια κεφάλαια για την τήρηση </w:t>
      </w:r>
      <w:r w:rsidR="00F443F6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επαρκών αποθεμάτων</w:t>
      </w: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 xml:space="preserve">, προσαρμόζονται στις εποχικές ανάγκες, εφαρμόζουν αυστηρά πρότυπα ποιότητας στη μεταφορά και αποθήκευση, διαθέτουν στόλο οχημάτων με πολλαπλά δρομολόγια, και συμβάλλουν στην περιβαλλοντικά ορθή διαχείριση </w:t>
      </w:r>
      <w:r w:rsidR="0013193C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 xml:space="preserve">των </w:t>
      </w: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ληγμένων φαρμάκων.</w:t>
      </w:r>
    </w:p>
    <w:p w14:paraId="67B3CBA4" w14:textId="77777777" w:rsidR="00D8270E" w:rsidRPr="001A2641" w:rsidRDefault="00D8270E" w:rsidP="00907F62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Τα τελευταία έτη, η συμβολή τους αναδείχθηκε ιδιαίτερα:</w:t>
      </w:r>
    </w:p>
    <w:p w14:paraId="779849C9" w14:textId="77777777" w:rsidR="00D8270E" w:rsidRPr="001A2641" w:rsidRDefault="0013193C" w:rsidP="00907F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σ</w:t>
      </w:r>
      <w:r w:rsidR="00D8270E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την επιτυχή εφαρμογή των εμβολιαστικών προγραμμάτων</w:t>
      </w:r>
    </w:p>
    <w:p w14:paraId="2853A3D9" w14:textId="77777777" w:rsidR="00D8270E" w:rsidRPr="001A2641" w:rsidRDefault="0013193C" w:rsidP="00907F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σ</w:t>
      </w:r>
      <w:r w:rsidR="00D8270E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τη στήριξη των φαρμακείων κατά τη διάρκεια της οικονομικής κρίσης, με ευέλικτες εμπορικές και πιστωτικές πολιτικές</w:t>
      </w:r>
    </w:p>
    <w:p w14:paraId="2BC1912D" w14:textId="77777777" w:rsidR="00D8270E" w:rsidRPr="001A2641" w:rsidRDefault="0013193C" w:rsidP="00907F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σ</w:t>
      </w:r>
      <w:r w:rsidR="00D8270E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την αδιάλειπτη λειτουργία τους στην πανδημία, εξασφαλίζοντας την επάρκεια σε φάρμακα και αναλώσιμα</w:t>
      </w:r>
    </w:p>
    <w:p w14:paraId="3BEB40EB" w14:textId="77777777" w:rsidR="00D8270E" w:rsidRPr="001A2641" w:rsidRDefault="0013193C" w:rsidP="00907F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σ</w:t>
      </w:r>
      <w:r w:rsidR="00D8270E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τη διανομή των δωρεάν self-tests σε συνεργασία με την Πολιτεία</w:t>
      </w:r>
    </w:p>
    <w:p w14:paraId="4B263B7B" w14:textId="77777777" w:rsidR="003958BA" w:rsidRPr="001A2641" w:rsidRDefault="003958BA" w:rsidP="00907F62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</w:p>
    <w:p w14:paraId="14C4BBCC" w14:textId="77777777" w:rsidR="00D8270E" w:rsidRPr="001A2641" w:rsidRDefault="00D8270E" w:rsidP="00907F62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</w:pPr>
      <w:r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Παρά τη διακριτική τους παρουσία, οι φαρμακαποθήκες αποτελούν πυλώνα της φαρμακευτικής φροντίδας και εγγυητή της δημόσιας υγεία</w:t>
      </w:r>
      <w:r w:rsidR="003958BA" w:rsidRPr="001A2641">
        <w:rPr>
          <w:rFonts w:ascii="Calibri" w:eastAsia="Calibri" w:hAnsi="Calibri" w:cs="Times New Roman"/>
          <w:iCs/>
          <w:kern w:val="0"/>
          <w:sz w:val="23"/>
          <w:szCs w:val="23"/>
          <w14:ligatures w14:val="none"/>
        </w:rPr>
        <w:t>.</w:t>
      </w:r>
    </w:p>
    <w:p w14:paraId="5A6539FB" w14:textId="77777777" w:rsidR="00D8270E" w:rsidRDefault="00D8270E" w:rsidP="00D8270E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786E26D9" w14:textId="77777777" w:rsidR="00D8270E" w:rsidRPr="00D8270E" w:rsidRDefault="00D8270E" w:rsidP="00D8270E">
      <w:pPr>
        <w:keepNext/>
        <w:spacing w:before="240" w:after="120" w:line="260" w:lineRule="atLeast"/>
        <w:jc w:val="both"/>
        <w:outlineLvl w:val="0"/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</w:pPr>
      <w:r w:rsidRPr="00D8270E"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  <w:t xml:space="preserve">Ο κλάδος αποθήκευσης και διανομής φαρμάκων: παράμετροι λειτουργίας και μεγέθη αγοράς </w:t>
      </w:r>
    </w:p>
    <w:p w14:paraId="34D55CC7" w14:textId="77777777" w:rsidR="00F443F6" w:rsidRDefault="00F443F6" w:rsidP="00F443F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Η συνολική ζήτηση της αγοράς φαρμάκου </w:t>
      </w:r>
      <w:r w:rsidR="006D7309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(νοσοκομειακή και εξωνοσοκομειακή) 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εκτιμάται το 2023 σε </w:t>
      </w:r>
      <w:r w:rsid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~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€ 8,1 δισ. (περιλαμβανομένων και των άμεσων πληρωμών)</w:t>
      </w:r>
      <w:r w:rsidR="006D7309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 </w:t>
      </w:r>
    </w:p>
    <w:p w14:paraId="78550133" w14:textId="77777777" w:rsidR="00425FA1" w:rsidRDefault="00A03CE1" w:rsidP="008A6B5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Στον κ</w:t>
      </w:r>
      <w:r w:rsidR="00D8270E"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λάδο της αποθήκευσης και διανομής φαρμάκου, δραστηριοποιούνται ~140 εταιρίες</w:t>
      </w:r>
      <w:r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και συνεταιρισμοί</w:t>
      </w:r>
      <w:r w:rsidR="00D8270E"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, διαμορφώνοντας </w:t>
      </w:r>
      <w:r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ένα </w:t>
      </w:r>
      <w:r w:rsidR="00D8270E"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συνολικό κύκλο εργασιών </w:t>
      </w:r>
      <w:r w:rsidR="00F443F6"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που ανέρχεται σε </w:t>
      </w:r>
      <w:r w:rsidR="00D8270E"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~€ 3,56 δισ.</w:t>
      </w:r>
      <w:r w:rsidR="00F443F6"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και </w:t>
      </w:r>
      <w:r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απασχολώντας συνολικά ~5.000 άτομα</w:t>
      </w:r>
      <w:r w:rsidR="00425FA1" w:rsidRPr="00425FA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</w:p>
    <w:p w14:paraId="701C0998" w14:textId="77777777" w:rsidR="00F443F6" w:rsidRPr="003958BA" w:rsidRDefault="00F443F6" w:rsidP="0081692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Παρά τα σημαντικά μεγέθη εσόδων, ο</w:t>
      </w:r>
      <w:r w:rsidR="00A03CE1"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ι εταιρείες του κλάδου λειτουργούν με περιορισμένα περιθώρια κέρδους, της τάξης του ~1%</w:t>
      </w: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, δυσχεραίνοντας τη λήψη επενδυτικών αποφάσεων</w:t>
      </w:r>
    </w:p>
    <w:p w14:paraId="7EA90706" w14:textId="77777777" w:rsidR="00F443F6" w:rsidRPr="00F443F6" w:rsidRDefault="00F443F6" w:rsidP="00F443F6">
      <w:pPr>
        <w:keepNext/>
        <w:tabs>
          <w:tab w:val="num" w:pos="720"/>
        </w:tabs>
        <w:spacing w:before="240" w:after="120" w:line="260" w:lineRule="atLeast"/>
        <w:jc w:val="both"/>
        <w:outlineLvl w:val="0"/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</w:pPr>
      <w:r w:rsidRPr="00F443F6"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  <w:t xml:space="preserve">Προστιθέμενη αξία και κοινωνικοοικονομικό αποτύπωμα </w:t>
      </w:r>
    </w:p>
    <w:p w14:paraId="357F664B" w14:textId="77777777" w:rsidR="00425FA1" w:rsidRPr="00E77FC8" w:rsidRDefault="00425FA1" w:rsidP="00B706E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Η κοινωνική προστιθέμενη αξία</w:t>
      </w:r>
      <w:r w:rsidR="007D617B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των φαρμακαποθηκών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εντοπίζ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εται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στο γεγονός 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πως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αποτελούν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συνδετικό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κρίκο στην αγορά φαρμάκου, διασφαλίζοντας την ποιότητα, </w:t>
      </w:r>
      <w:r w:rsidR="0013193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την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ασφάλεια και </w:t>
      </w:r>
      <w:r w:rsidR="0013193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την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επάρκεια των φαρμακευτικών προϊόντων</w:t>
      </w:r>
      <w:r w:rsid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. Οι φαρμακαποθήκες </w:t>
      </w:r>
      <w:r w:rsid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lastRenderedPageBreak/>
        <w:t xml:space="preserve">διατηρούν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ευρύ φάσμα φαρμάκων σε απόθεμα για την κάλυψη δημόσιων και ιδιωτικών αναγκών και </w:t>
      </w:r>
      <w:r w:rsid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προβαίνουν σ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την καθημερινή εκτέλεση δρομολογίων, συνεισφέροντας στην έγκαιρη πρόσβαση των ασθενών σε φάρμακα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.</w:t>
      </w:r>
    </w:p>
    <w:p w14:paraId="7384217C" w14:textId="77777777" w:rsidR="00E77FC8" w:rsidRPr="00E77FC8" w:rsidRDefault="00E77FC8" w:rsidP="00E77FC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Το οικονομικό αποτύπωμα προσδιορίζεται μέσα από την εκτίμηση της άμεσης, έμμεσης και προκαλούμενης συνεισφοράς στην οικονομία, σε θέσεις εργασίας και στα δημόσια έσοδα. Συγκεκριμένα: </w:t>
      </w:r>
    </w:p>
    <w:p w14:paraId="2F0594DF" w14:textId="08618F7B" w:rsidR="00E77FC8" w:rsidRPr="00E77FC8" w:rsidRDefault="00E204CA" w:rsidP="00E77FC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η</w:t>
      </w:r>
      <w:r w:rsid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συνολική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συνεισφορά στ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ο ΑΕΠ 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εκτιμάται σε ~€ 5</w:t>
      </w:r>
      <w:r w:rsidR="0033305E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04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εκ. το 2023 και 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~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€ 2,</w:t>
      </w:r>
      <w:r w:rsidR="0033305E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3</w:t>
      </w:r>
      <w:r w:rsidR="00E77FC8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δισ. συνολικά το διάστημα 2019-2023</w:t>
      </w:r>
      <w:r w:rsid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,</w:t>
      </w:r>
    </w:p>
    <w:p w14:paraId="042D0E8D" w14:textId="77777777" w:rsidR="00E77FC8" w:rsidRPr="00E77FC8" w:rsidRDefault="00E77FC8" w:rsidP="00E77FC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η συνολική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συνεισφορά σε επίπεδο θέσεων εργασίας </w:t>
      </w:r>
      <w:r w:rsid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εκτιμάται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σε ~17 χιλ. 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το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2023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και </w:t>
      </w:r>
    </w:p>
    <w:p w14:paraId="4F93DB0A" w14:textId="4CFA37B2" w:rsidR="00E77FC8" w:rsidRPr="00E77FC8" w:rsidRDefault="00E77FC8" w:rsidP="00E77FC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η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συνεισφορά στα δημόσια έσοδα 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εκτιμάται σε </w:t>
      </w:r>
      <w:r w:rsidR="00237E1C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~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€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15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8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εκ. το 2023 και 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~€ 7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12</w:t>
      </w:r>
      <w:r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εκ. στο διάστημα </w:t>
      </w:r>
      <w:r w:rsidR="00237E1C" w:rsidRPr="00E77FC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2019-2023</w:t>
      </w:r>
      <w:r w:rsidR="00A53A99" w:rsidRPr="00A53A99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.</w:t>
      </w:r>
    </w:p>
    <w:p w14:paraId="7646E1BA" w14:textId="77777777" w:rsidR="006D7309" w:rsidRPr="007D617B" w:rsidRDefault="007D617B" w:rsidP="007D617B">
      <w:pPr>
        <w:keepNext/>
        <w:tabs>
          <w:tab w:val="num" w:pos="720"/>
        </w:tabs>
        <w:spacing w:before="240" w:after="120" w:line="260" w:lineRule="atLeast"/>
        <w:jc w:val="both"/>
        <w:outlineLvl w:val="0"/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</w:pPr>
      <w:r w:rsidRPr="007D617B">
        <w:rPr>
          <w:rFonts w:ascii="Calibri" w:eastAsia="Times New Roman" w:hAnsi="Calibri" w:cs="Arial"/>
          <w:b/>
          <w:color w:val="4F2D7F"/>
          <w:kern w:val="32"/>
          <w:szCs w:val="28"/>
          <w:lang w:eastAsia="el-GR"/>
          <w14:ligatures w14:val="none"/>
        </w:rPr>
        <w:t>Ρυθμιστικές παρεμβάσεις και πολιτικές ενδυνάμωσης</w:t>
      </w:r>
    </w:p>
    <w:p w14:paraId="184E8745" w14:textId="5AE2E1B8" w:rsidR="00E204CA" w:rsidRDefault="004F1890" w:rsidP="00AB4F6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Το 2023, το σύνολο πωλήσεων φαρμάκου υπολογίζεται σε </w:t>
      </w:r>
      <w:r w:rsidR="00237E1C"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~</w:t>
      </w: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589 εκ. τεμάχια σε ~7.500 κωδικούς προϊόντων και με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το</w:t>
      </w: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μερίδιο των γεν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ο</w:t>
      </w: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σ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ή</w:t>
      </w: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μων να αντιστοιχεί σε 39,0%</w:t>
      </w:r>
      <w:r w:rsidR="00E204CA"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. </w:t>
      </w:r>
    </w:p>
    <w:p w14:paraId="17A82EB9" w14:textId="77777777" w:rsidR="00B84E11" w:rsidRPr="00E204CA" w:rsidRDefault="00B84E11" w:rsidP="00AB4F6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Ο αριθμός σκευασμάτων σε απαγόρευση εξαγωγών ανήλθε σε 204 κωδικούς το 2023, ήτοι το ~2% επί του συνολικού αριθμού κωδικών, ενώ η αξία των παράλληλων εξαγωγών ανήλθαν σε ~€ 2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93</w:t>
      </w: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εκ. το 2023, ήτοι στο ~3,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0</w:t>
      </w:r>
      <w:r w:rsidRPr="00E204C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% επί των συνολικών φαρμακευτικών πωλήσεων  </w:t>
      </w:r>
    </w:p>
    <w:p w14:paraId="2A151BB7" w14:textId="77777777" w:rsidR="00907F62" w:rsidRDefault="00BF75F5" w:rsidP="00907F6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Στοχευμένες π</w:t>
      </w:r>
      <w:r w:rsidR="00907F62" w:rsidRPr="00907F62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αρεμβάσεις για την επάρκεια του φαρμάκου στην 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ε</w:t>
      </w:r>
      <w:r w:rsidR="00907F62" w:rsidRPr="00907F62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λληνική αγορά </w:t>
      </w:r>
      <w:r w:rsidR="00BC02CF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και την εύρυθμη λειτουργία του κλάδου </w:t>
      </w:r>
      <w:r w:rsidR="00907F62" w:rsidRPr="00907F62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είναι δυνατό να </w:t>
      </w:r>
      <w:r w:rsidR="00907F62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εξεταστούν </w:t>
      </w:r>
      <w:r w:rsidR="00907F62" w:rsidRPr="00907F62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σε τρία επίπεδα:</w:t>
      </w:r>
    </w:p>
    <w:p w14:paraId="06D51147" w14:textId="77777777" w:rsidR="00907F62" w:rsidRPr="003958BA" w:rsidRDefault="00907F62" w:rsidP="00907F62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Ορισμό: σταθερή προσέγγιση κριτηρίων 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για τον προσδιορισμό </w:t>
      </w: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φαρμάκων σε έλλειψη και συνυπολογισμός των αντίστοιχων διαθέσιμων δραστικών ουσιών</w:t>
      </w:r>
    </w:p>
    <w:p w14:paraId="37048372" w14:textId="77777777" w:rsidR="00907F62" w:rsidRPr="003958BA" w:rsidRDefault="00907F62" w:rsidP="00907F62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Πρόβλεψη: διασύνδεση πληροφοριακών συστημάτων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υγείας (π.χ. ΕΟΦ, ΗΔΙΚΑ, ΗΣΠΑΔΙΦ)</w:t>
      </w: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για τη δυνατότητα συλλογής και ανάλυσης δεδομένων υγείας και φαρμάκων  </w:t>
      </w:r>
    </w:p>
    <w:p w14:paraId="43337E29" w14:textId="77777777" w:rsidR="00907F62" w:rsidRDefault="00907F62" w:rsidP="00907F62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Παρακολούθηση: ενίσχυση της ιχνηλασιμότητας και διαφάνειας κυκλοφορίας φαρμάκων μέσα από τη διασύνδεση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όλων 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των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εμπλεκόμενων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μερών της εφοδιαστικής αλυσίδας </w:t>
      </w:r>
      <w:r w:rsidR="00BC02CF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φ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αρμάκου σε 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δημόσιες </w:t>
      </w: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πλατφόρμες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(π.χ. ΗΣΠΑΔΙΦ, </w:t>
      </w:r>
      <w:r w:rsidR="00237E1C">
        <w:rPr>
          <w:rFonts w:ascii="Calibri" w:eastAsia="Calibri" w:hAnsi="Calibri" w:cs="Times New Roman"/>
          <w:kern w:val="0"/>
          <w:sz w:val="23"/>
          <w:szCs w:val="23"/>
          <w:lang w:val="en-US"/>
          <w14:ligatures w14:val="none"/>
        </w:rPr>
        <w:t>HMVO</w:t>
      </w:r>
      <w:r w:rsidR="00237E1C" w:rsidRP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, 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ΗΔΙΚΑ)</w:t>
      </w:r>
    </w:p>
    <w:p w14:paraId="297BCB41" w14:textId="77777777" w:rsidR="003958BA" w:rsidRDefault="00BF75F5" w:rsidP="00BC02C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Αναγκαίες </w:t>
      </w:r>
      <w:r w:rsidR="00BC02CF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παρεμβάσεις για την περαιτέρω ενδυνάμωση του κλάδου είναι δυνατό να υλοποιηθούν </w:t>
      </w:r>
      <w:r w:rsidR="00BC02CF"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μέσα από</w:t>
      </w:r>
      <w:r w:rsid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: </w:t>
      </w:r>
    </w:p>
    <w:p w14:paraId="0D3146B9" w14:textId="77777777" w:rsidR="00BC02CF" w:rsidRDefault="00BC02CF" w:rsidP="00F94EE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την καταγραφή των αναγκών του κλάδου και </w:t>
      </w:r>
      <w:r w:rsid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τη </w:t>
      </w: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διαμόρφωση 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πρακτικών </w:t>
      </w:r>
      <w:r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εργαλείων ενίσχυσης και χρηματοδότησης </w:t>
      </w:r>
      <w:r w:rsidR="003958BA" w:rsidRPr="003958BA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και τη σ</w:t>
      </w:r>
      <w:r w:rsidRPr="00BC02CF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υμπερίληψη </w:t>
      </w:r>
      <w:r w:rsidR="00237E1C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του </w:t>
      </w:r>
      <w:r w:rsidRPr="00BC02CF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κλάδου στη διαδικασία του σχεδιασμού δράσεων / προγραμμάτων </w:t>
      </w:r>
    </w:p>
    <w:p w14:paraId="3672CCF9" w14:textId="77777777" w:rsidR="004601F8" w:rsidRDefault="003958BA" w:rsidP="003958BA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τη συμπερίληψη των φαρμακαποθηκών σε υφιστάμενα καθεστώτα (π.χ. Αναπτυξιακός Νόμος) </w:t>
      </w:r>
      <w:r w:rsidR="004601F8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τα οποία δύνανται να καλύψουν το μέγεθος των επενδυτικών αναγκών</w:t>
      </w:r>
    </w:p>
    <w:p w14:paraId="6D2E34E9" w14:textId="77777777" w:rsidR="00BC02CF" w:rsidRPr="00E204CA" w:rsidRDefault="00BC02CF" w:rsidP="00E204CA">
      <w:pPr>
        <w:spacing w:after="200" w:line="276" w:lineRule="auto"/>
        <w:ind w:left="360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sectPr w:rsidR="00BC02CF" w:rsidRPr="00E204C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3093" w14:textId="77777777" w:rsidR="00F074E9" w:rsidRDefault="00F074E9" w:rsidP="00115E8B">
      <w:pPr>
        <w:spacing w:after="0" w:line="240" w:lineRule="auto"/>
      </w:pPr>
      <w:r>
        <w:separator/>
      </w:r>
    </w:p>
  </w:endnote>
  <w:endnote w:type="continuationSeparator" w:id="0">
    <w:p w14:paraId="29DA596F" w14:textId="77777777" w:rsidR="00F074E9" w:rsidRDefault="00F074E9" w:rsidP="0011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350F" w14:textId="77777777" w:rsidR="0013193C" w:rsidRPr="0013193C" w:rsidRDefault="00286AA5" w:rsidP="0013193C">
    <w:pPr>
      <w:spacing w:after="0" w:line="240" w:lineRule="auto"/>
      <w:jc w:val="right"/>
      <w:rPr>
        <w:rFonts w:ascii="Arial" w:eastAsia="Times New Roman" w:hAnsi="Arial" w:cs="Arial"/>
        <w:color w:val="F2F0EE"/>
        <w:kern w:val="0"/>
        <w:sz w:val="12"/>
        <w:szCs w:val="16"/>
        <w:lang w:val="en-GB"/>
        <w14:ligatures w14:val="none"/>
      </w:rPr>
    </w:pPr>
    <w:r w:rsidRPr="00286AA5">
      <w:rPr>
        <w:rFonts w:ascii="Arial" w:eastAsia="Times New Roman" w:hAnsi="Arial" w:cs="Arial"/>
        <w:kern w:val="0"/>
        <w:sz w:val="12"/>
        <w:szCs w:val="16"/>
        <w:lang w:val="en-GB"/>
        <w14:ligatures w14:val="none"/>
      </w:rPr>
      <w:t>Grant</w:t>
    </w:r>
    <w:r>
      <w:rPr>
        <w:rFonts w:ascii="Arial" w:eastAsia="Times New Roman" w:hAnsi="Arial" w:cs="Arial"/>
        <w:kern w:val="0"/>
        <w:sz w:val="12"/>
        <w:szCs w:val="16"/>
        <w:lang w:val="en-GB"/>
        <w14:ligatures w14:val="none"/>
      </w:rPr>
      <w:t xml:space="preserve"> </w:t>
    </w:r>
    <w:r w:rsidRPr="00286AA5">
      <w:rPr>
        <w:rFonts w:ascii="Arial" w:eastAsia="Times New Roman" w:hAnsi="Arial" w:cs="Arial"/>
        <w:kern w:val="0"/>
        <w:sz w:val="12"/>
        <w:szCs w:val="16"/>
        <w:lang w:val="en-GB"/>
        <w14:ligatures w14:val="none"/>
      </w:rPr>
      <w:t xml:space="preserve">Thornton </w:t>
    </w:r>
    <w:r w:rsidRPr="00286AA5">
      <w:rPr>
        <w:rFonts w:ascii="Arial" w:eastAsia="Times New Roman" w:hAnsi="Arial" w:cs="Arial"/>
        <w:kern w:val="0"/>
        <w:sz w:val="12"/>
        <w:szCs w:val="16"/>
        <w:lang w:val="en-US"/>
        <w14:ligatures w14:val="none"/>
      </w:rPr>
      <w:t>Greece</w:t>
    </w:r>
    <w:r>
      <w:rPr>
        <w:rFonts w:ascii="Arial" w:eastAsia="Times New Roman" w:hAnsi="Arial" w:cs="Arial"/>
        <w:kern w:val="0"/>
        <w:sz w:val="12"/>
        <w:szCs w:val="16"/>
        <w:lang w:val="en-US"/>
        <w14:ligatures w14:val="none"/>
      </w:rPr>
      <w:t xml:space="preserve"> 2025 | </w:t>
    </w:r>
    <w:r w:rsidR="0013193C" w:rsidRPr="0013193C">
      <w:rPr>
        <w:rFonts w:ascii="Arial" w:eastAsia="Times New Roman" w:hAnsi="Arial" w:cs="Arial"/>
        <w:b/>
        <w:color w:val="000000"/>
        <w:kern w:val="0"/>
        <w:sz w:val="12"/>
        <w:szCs w:val="16"/>
        <w:lang w:val="en-GB"/>
        <w14:ligatures w14:val="none"/>
      </w:rPr>
      <w:fldChar w:fldCharType="begin"/>
    </w:r>
    <w:r w:rsidR="0013193C" w:rsidRPr="0013193C">
      <w:rPr>
        <w:rFonts w:ascii="Arial" w:eastAsia="Times New Roman" w:hAnsi="Arial" w:cs="Arial"/>
        <w:b/>
        <w:color w:val="000000"/>
        <w:kern w:val="0"/>
        <w:sz w:val="12"/>
        <w:szCs w:val="16"/>
        <w:lang w:val="en-GB"/>
        <w14:ligatures w14:val="none"/>
      </w:rPr>
      <w:instrText xml:space="preserve"> PAGE </w:instrText>
    </w:r>
    <w:r w:rsidR="0013193C" w:rsidRPr="0013193C">
      <w:rPr>
        <w:rFonts w:ascii="Arial" w:eastAsia="Times New Roman" w:hAnsi="Arial" w:cs="Arial"/>
        <w:b/>
        <w:color w:val="000000"/>
        <w:kern w:val="0"/>
        <w:sz w:val="12"/>
        <w:szCs w:val="16"/>
        <w:lang w:val="en-GB"/>
        <w14:ligatures w14:val="none"/>
      </w:rPr>
      <w:fldChar w:fldCharType="separate"/>
    </w:r>
    <w:r w:rsidR="0013193C" w:rsidRPr="0013193C">
      <w:rPr>
        <w:rFonts w:ascii="Arial" w:eastAsia="Times New Roman" w:hAnsi="Arial" w:cs="Arial"/>
        <w:b/>
        <w:color w:val="000000"/>
        <w:kern w:val="0"/>
        <w:sz w:val="12"/>
        <w:szCs w:val="16"/>
        <w:lang w:val="en-GB"/>
        <w14:ligatures w14:val="none"/>
      </w:rPr>
      <w:t>2</w:t>
    </w:r>
    <w:r w:rsidR="0013193C" w:rsidRPr="0013193C">
      <w:rPr>
        <w:rFonts w:ascii="Arial" w:eastAsia="Times New Roman" w:hAnsi="Arial" w:cs="Arial"/>
        <w:b/>
        <w:color w:val="000000"/>
        <w:kern w:val="0"/>
        <w:sz w:val="12"/>
        <w:szCs w:val="16"/>
        <w:lang w:val="en-GB"/>
        <w14:ligatures w14:val="none"/>
      </w:rPr>
      <w:fldChar w:fldCharType="end"/>
    </w:r>
    <w:r w:rsidR="0013193C" w:rsidRPr="0013193C">
      <w:rPr>
        <w:rFonts w:ascii="Arial" w:eastAsia="Times New Roman" w:hAnsi="Arial" w:cs="Arial"/>
        <w:noProof/>
        <w:color w:val="F2F0EE"/>
        <w:kern w:val="0"/>
        <w:sz w:val="12"/>
        <w:szCs w:val="16"/>
        <w:lang w:eastAsia="el-G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5C1C30" wp14:editId="29B23508">
              <wp:simplePos x="0" y="0"/>
              <wp:positionH relativeFrom="margin">
                <wp:align>right</wp:align>
              </wp:positionH>
              <wp:positionV relativeFrom="paragraph">
                <wp:posOffset>-71755</wp:posOffset>
              </wp:positionV>
              <wp:extent cx="150840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08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2D7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205371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7.55pt,-5.65pt" to="186.3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" strokecolor="#4f2d7f" strokeweight="1.5pt">
              <w10:wrap anchorx="margin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E410" w14:textId="77777777" w:rsidR="00F074E9" w:rsidRDefault="00F074E9" w:rsidP="00115E8B">
      <w:pPr>
        <w:spacing w:after="0" w:line="240" w:lineRule="auto"/>
      </w:pPr>
      <w:r>
        <w:separator/>
      </w:r>
    </w:p>
  </w:footnote>
  <w:footnote w:type="continuationSeparator" w:id="0">
    <w:p w14:paraId="4BADECEB" w14:textId="77777777" w:rsidR="00F074E9" w:rsidRDefault="00F074E9" w:rsidP="0011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460D" w14:textId="77777777" w:rsidR="00115E8B" w:rsidRDefault="00115E8B">
    <w:pPr>
      <w:pStyle w:val="Header"/>
    </w:pPr>
    <w:r>
      <w:rPr>
        <w:noProof/>
        <w:lang w:eastAsia="el-GR"/>
      </w:rPr>
      <w:drawing>
        <wp:inline distT="0" distB="0" distL="0" distR="0" wp14:anchorId="45EC8F8B" wp14:editId="1F4BADED">
          <wp:extent cx="1533797" cy="528972"/>
          <wp:effectExtent l="0" t="0" r="0" b="0"/>
          <wp:docPr id="1911722397" name="Picture 1911722397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915" cy="537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83193" w14:textId="77777777" w:rsidR="00115E8B" w:rsidRDefault="00115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D56"/>
    <w:multiLevelType w:val="hybridMultilevel"/>
    <w:tmpl w:val="860E5320"/>
    <w:lvl w:ilvl="0" w:tplc="83BC3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243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28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290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A78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E2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AA4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A0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CC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0752"/>
    <w:multiLevelType w:val="multilevel"/>
    <w:tmpl w:val="FB8CF3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DB6A67"/>
    <w:multiLevelType w:val="hybridMultilevel"/>
    <w:tmpl w:val="8CF4119E"/>
    <w:lvl w:ilvl="0" w:tplc="0408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8F940A4"/>
    <w:multiLevelType w:val="hybridMultilevel"/>
    <w:tmpl w:val="0E7C139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85CEF"/>
    <w:multiLevelType w:val="hybridMultilevel"/>
    <w:tmpl w:val="E9CCC8B6"/>
    <w:lvl w:ilvl="0" w:tplc="AD180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4E7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EB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4F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58E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65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00A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C3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C3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D54EF3"/>
    <w:multiLevelType w:val="hybridMultilevel"/>
    <w:tmpl w:val="21D8C376"/>
    <w:lvl w:ilvl="0" w:tplc="FC003C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AB6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4D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8B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C7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20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8C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86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F05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F6EF4"/>
    <w:multiLevelType w:val="hybridMultilevel"/>
    <w:tmpl w:val="89D67FA2"/>
    <w:lvl w:ilvl="0" w:tplc="D0500E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CB3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66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2A4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6FC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A7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A71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0BF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ED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071C8"/>
    <w:multiLevelType w:val="hybridMultilevel"/>
    <w:tmpl w:val="A9A0131C"/>
    <w:lvl w:ilvl="0" w:tplc="6A6652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B4865"/>
    <w:multiLevelType w:val="hybridMultilevel"/>
    <w:tmpl w:val="163EBAAA"/>
    <w:lvl w:ilvl="0" w:tplc="9EEAE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C6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44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6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46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A2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C6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67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21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1A501D"/>
    <w:multiLevelType w:val="hybridMultilevel"/>
    <w:tmpl w:val="39422AE0"/>
    <w:lvl w:ilvl="0" w:tplc="2B604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A43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A0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F4D7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C07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AD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AE8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40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43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96A"/>
    <w:multiLevelType w:val="hybridMultilevel"/>
    <w:tmpl w:val="CFF22C16"/>
    <w:lvl w:ilvl="0" w:tplc="9E665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16DD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2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8D3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8A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45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EE5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CD0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E6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95D0F"/>
    <w:multiLevelType w:val="hybridMultilevel"/>
    <w:tmpl w:val="C2A605C8"/>
    <w:lvl w:ilvl="0" w:tplc="4462C6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B278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900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4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099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A24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687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A65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AD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3D31"/>
    <w:multiLevelType w:val="hybridMultilevel"/>
    <w:tmpl w:val="5FAC9EDE"/>
    <w:lvl w:ilvl="0" w:tplc="DB24890C">
      <w:start w:val="100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B2065C"/>
    <w:multiLevelType w:val="hybridMultilevel"/>
    <w:tmpl w:val="2954EA9A"/>
    <w:lvl w:ilvl="0" w:tplc="9C68C6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EB9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0D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4B0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2F9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49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C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2A5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24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656499">
    <w:abstractNumId w:val="1"/>
  </w:num>
  <w:num w:numId="2" w16cid:durableId="2061249043">
    <w:abstractNumId w:val="3"/>
  </w:num>
  <w:num w:numId="3" w16cid:durableId="1775635089">
    <w:abstractNumId w:val="8"/>
  </w:num>
  <w:num w:numId="4" w16cid:durableId="995259786">
    <w:abstractNumId w:val="4"/>
  </w:num>
  <w:num w:numId="5" w16cid:durableId="223760323">
    <w:abstractNumId w:val="2"/>
  </w:num>
  <w:num w:numId="6" w16cid:durableId="1937323077">
    <w:abstractNumId w:val="5"/>
  </w:num>
  <w:num w:numId="7" w16cid:durableId="7606010">
    <w:abstractNumId w:val="0"/>
  </w:num>
  <w:num w:numId="8" w16cid:durableId="1262106838">
    <w:abstractNumId w:val="11"/>
  </w:num>
  <w:num w:numId="9" w16cid:durableId="814756890">
    <w:abstractNumId w:val="7"/>
  </w:num>
  <w:num w:numId="10" w16cid:durableId="2135319998">
    <w:abstractNumId w:val="13"/>
  </w:num>
  <w:num w:numId="11" w16cid:durableId="1595672294">
    <w:abstractNumId w:val="10"/>
  </w:num>
  <w:num w:numId="12" w16cid:durableId="1388188676">
    <w:abstractNumId w:val="12"/>
  </w:num>
  <w:num w:numId="13" w16cid:durableId="1186868151">
    <w:abstractNumId w:val="6"/>
  </w:num>
  <w:num w:numId="14" w16cid:durableId="1906187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0E"/>
    <w:rsid w:val="00115E8B"/>
    <w:rsid w:val="0013193C"/>
    <w:rsid w:val="00174AFF"/>
    <w:rsid w:val="001A2641"/>
    <w:rsid w:val="00237E1C"/>
    <w:rsid w:val="00286AA5"/>
    <w:rsid w:val="0033305E"/>
    <w:rsid w:val="003958BA"/>
    <w:rsid w:val="00425FA1"/>
    <w:rsid w:val="004601F8"/>
    <w:rsid w:val="004F1890"/>
    <w:rsid w:val="00511E84"/>
    <w:rsid w:val="00545092"/>
    <w:rsid w:val="006D7309"/>
    <w:rsid w:val="007007A3"/>
    <w:rsid w:val="007D617B"/>
    <w:rsid w:val="00907F62"/>
    <w:rsid w:val="0096453B"/>
    <w:rsid w:val="00A03CE1"/>
    <w:rsid w:val="00A36D9E"/>
    <w:rsid w:val="00A53A99"/>
    <w:rsid w:val="00A57AA0"/>
    <w:rsid w:val="00B01FF3"/>
    <w:rsid w:val="00B07C6D"/>
    <w:rsid w:val="00B449D4"/>
    <w:rsid w:val="00B84E11"/>
    <w:rsid w:val="00BC02CF"/>
    <w:rsid w:val="00BF75F5"/>
    <w:rsid w:val="00D8270E"/>
    <w:rsid w:val="00E204CA"/>
    <w:rsid w:val="00E76ED0"/>
    <w:rsid w:val="00E77FC8"/>
    <w:rsid w:val="00EC0E3F"/>
    <w:rsid w:val="00F074E9"/>
    <w:rsid w:val="00F4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F5E6"/>
  <w15:chartTrackingRefBased/>
  <w15:docId w15:val="{E8ECA161-2DB5-40CB-846F-5633C288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7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8B"/>
  </w:style>
  <w:style w:type="paragraph" w:styleId="Footer">
    <w:name w:val="footer"/>
    <w:basedOn w:val="Normal"/>
    <w:link w:val="FooterChar"/>
    <w:uiPriority w:val="99"/>
    <w:unhideWhenUsed/>
    <w:rsid w:val="00115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5192">
          <w:marLeft w:val="274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891">
          <w:marLeft w:val="274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918">
          <w:marLeft w:val="446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178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14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12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798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46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742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02">
          <w:marLeft w:val="14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7428">
          <w:marLeft w:val="14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61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11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95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755">
          <w:marLeft w:val="274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198">
          <w:marLeft w:val="14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95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52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45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29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Gag06</b:Tag>
    <b:SourceType>Report</b:SourceType>
    <b:Guid>{C671BDBF-4E01-4756-9A96-0C020C188616}</b:Guid>
    <b:Author>
      <b:Author>
        <b:NameList>
          <b:Person>
            <b:Last>Gago</b:Last>
            <b:First>Labandeira,</b:First>
            <b:Middle>Picos, Rodriguez</b:Middle>
          </b:Person>
        </b:NameList>
      </b:Author>
    </b:Author>
    <b:Title>Tourism taxation: an applied analysis for Spain</b:Title>
    <b:Year>2006</b:Year>
    <b:Publisher>University of Vigo </b:Publisher>
    <b:City>Vigo</b:City>
    <b:RefOrder>1</b:RefOrder>
  </b:Source>
  <b:Source>
    <b:Tag>Dom10</b:Tag>
    <b:SourceType>Report</b:SourceType>
    <b:Guid>{DAD9CE5E-0393-47AC-A040-C1CADB65D767}</b:Guid>
    <b:Author>
      <b:Author>
        <b:NameList>
          <b:Person>
            <b:Last>Dombrovski</b:Last>
            <b:First>Hodžić</b:First>
          </b:Person>
        </b:NameList>
      </b:Author>
    </b:Author>
    <b:Title>Impact Of Value Added Tax On Tourism</b:Title>
    <b:Year>2010</b:Year>
    <b:Publisher>International Business &amp; Economics Research Journal</b:Publisher>
    <b:City>Colorado</b:City>
    <b:RefOrder>2</b:RefOrder>
  </b:Source>
  <b:Source>
    <b:Tag>Ins11</b:Tag>
    <b:SourceType>Report</b:SourceType>
    <b:Guid>{2636CEED-88DD-41AD-AFAC-4262D2C3E854}</b:Guid>
    <b:Author>
      <b:Author>
        <b:Corporate>Institute for Fiscal Studies</b:Corporate>
      </b:Author>
    </b:Author>
    <b:Title>Tax by design </b:Title>
    <b:Year>2011</b:Year>
    <b:Publisher>Institute for Fiscal Studies</b:Publisher>
    <b:City>London</b:City>
    <b:RefOrder>3</b:RefOrder>
  </b:Source>
  <b:Source>
    <b:Tag>Vje12</b:Tag>
    <b:SourceType>Report</b:SourceType>
    <b:Guid>{09965AB9-780D-4DBE-B83B-C86C808D6E30}</b:Guid>
    <b:Author>
      <b:Author>
        <b:NameList>
          <b:Person>
            <b:Last>Vjekoslav</b:Last>
            <b:First>Bejaković,</b:First>
            <b:Middle>Anton</b:Middle>
          </b:Person>
        </b:NameList>
      </b:Author>
    </b:Author>
    <b:Title>Tax system as a factor of tourism competitiveness: The case of Croatia</b:Title>
    <b:Year>2012</b:Year>
    <b:Publisher>Elsevier BV</b:Publisher>
    <b:City>Zagreb</b:City>
    <b:RefOrder>4</b:RefOrder>
  </b:Source>
  <b:Source>
    <b:Tag>Leg17</b:Tag>
    <b:SourceType>InternetSite</b:SourceType>
    <b:Guid>{8A4B2ACC-8D9E-49EF-835B-940CF2CD18D2}</b:Guid>
    <b:Title>Legifrance</b:Title>
    <b:Year>2017</b:Year>
    <b:URL>https://www.legifrance.gouv.fr</b:URL>
    <b:RefOrder>5</b:RefOrder>
  </b:Source>
</b:Sources>
</file>

<file path=customXml/itemProps1.xml><?xml version="1.0" encoding="utf-8"?>
<ds:datastoreItem xmlns:ds="http://schemas.openxmlformats.org/officeDocument/2006/customXml" ds:itemID="{85C1D4B2-D386-4245-81A0-D467B34F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Greece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Stamkou</dc:creator>
  <cp:keywords/>
  <dc:description/>
  <cp:lastModifiedBy>Konstantina Stamkou</cp:lastModifiedBy>
  <cp:revision>3</cp:revision>
  <dcterms:created xsi:type="dcterms:W3CDTF">2025-05-12T15:08:00Z</dcterms:created>
  <dcterms:modified xsi:type="dcterms:W3CDTF">2025-05-12T15:11:00Z</dcterms:modified>
</cp:coreProperties>
</file>